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CA46AE" w:rsidRPr="00C0554F" w:rsidRDefault="003468F3">
      <w:pPr>
        <w:jc w:val="center"/>
        <w:outlineLvl w:val="0"/>
        <w:rPr>
          <w:b/>
          <w:sz w:val="32"/>
        </w:rPr>
      </w:pPr>
      <w:r>
        <w:rPr>
          <w:b/>
          <w:noProof/>
          <w:u w:val="single"/>
        </w:rPr>
        <mc:AlternateContent>
          <mc:Choice Requires="wps">
            <w:drawing>
              <wp:anchor distT="0" distB="0" distL="114300" distR="114300" simplePos="0" relativeHeight="251657216" behindDoc="0" locked="0" layoutInCell="0" allowOverlap="1">
                <wp:simplePos x="0" y="0"/>
                <wp:positionH relativeFrom="column">
                  <wp:posOffset>-863600</wp:posOffset>
                </wp:positionH>
                <wp:positionV relativeFrom="paragraph">
                  <wp:posOffset>-195580</wp:posOffset>
                </wp:positionV>
                <wp:extent cx="1892300" cy="8382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838200"/>
                        </a:xfrm>
                        <a:prstGeom prst="rect">
                          <a:avLst/>
                        </a:prstGeom>
                        <a:solidFill>
                          <a:srgbClr val="FFFF99"/>
                        </a:solidFill>
                        <a:ln w="9525">
                          <a:solidFill>
                            <a:srgbClr val="000000"/>
                          </a:solidFill>
                          <a:miter lim="800000"/>
                          <a:headEnd/>
                          <a:tailEnd/>
                        </a:ln>
                      </wps:spPr>
                      <wps:txbx>
                        <w:txbxContent>
                          <w:p w:rsidR="00CA46AE" w:rsidRDefault="00CA46AE">
                            <w:r>
                              <w:t>Delete all comments or commitments that do not apply and modify or add any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68pt;margin-top:-15.4pt;width:149pt;height: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" o:allowincell="f" fillcolor="#ff9">
                <v:textbox>
                  <w:txbxContent>
                    <w:p w:rsidR="00CA46AE" w:rsidRDefault="00CA46AE">
                      <w:r>
                        <w:t>Delete all comments or commitments that do not apply and modify or add any as appropriate.</w:t>
                      </w:r>
                    </w:p>
                  </w:txbxContent>
                </v:textbox>
              </v:shape>
            </w:pict>
          </mc:Fallback>
        </mc:AlternateContent>
      </w:r>
      <w:r w:rsidR="00CA46AE" w:rsidRPr="00C0554F">
        <w:rPr>
          <w:b/>
          <w:sz w:val="32"/>
        </w:rPr>
        <w:t xml:space="preserve">PROJECT COMMITMENTS </w:t>
      </w:r>
    </w:p>
    <w:p w:rsidR="00CA46AE" w:rsidRPr="00C0554F" w:rsidRDefault="00CA46AE">
      <w:pPr>
        <w:pStyle w:val="Heading7"/>
        <w:rPr>
          <w:sz w:val="32"/>
        </w:rPr>
      </w:pPr>
      <w:r w:rsidRPr="00C0554F">
        <w:rPr>
          <w:sz w:val="32"/>
        </w:rPr>
        <w:t>B-</w:t>
      </w:r>
      <w:r w:rsidRPr="003D6ED5">
        <w:rPr>
          <w:color w:val="0000FF"/>
          <w:sz w:val="32"/>
        </w:rPr>
        <w:t>2905</w:t>
      </w:r>
    </w:p>
    <w:p w:rsidR="00CA46AE" w:rsidRDefault="00CA46AE">
      <w:pPr>
        <w:tabs>
          <w:tab w:val="left" w:pos="720"/>
        </w:tabs>
        <w:spacing w:line="240" w:lineRule="exact"/>
        <w:jc w:val="center"/>
      </w:pPr>
    </w:p>
    <w:p w:rsidR="00CA46AE" w:rsidRDefault="00CA46AE"/>
    <w:p w:rsidR="006E05A9" w:rsidRDefault="006E05A9" w:rsidP="006E05A9">
      <w:pPr>
        <w:pStyle w:val="BodyText"/>
        <w:outlineLvl w:val="0"/>
        <w:rPr>
          <w:sz w:val="24"/>
        </w:rPr>
      </w:pPr>
      <w:r>
        <w:rPr>
          <w:sz w:val="24"/>
        </w:rPr>
        <w:t>Airport Glidepath</w:t>
      </w:r>
      <w:r>
        <w:rPr>
          <w:sz w:val="24"/>
        </w:rPr>
        <w:tab/>
      </w:r>
      <w:r>
        <w:rPr>
          <w:sz w:val="24"/>
        </w:rPr>
        <w:tab/>
      </w:r>
      <w:r>
        <w:rPr>
          <w:sz w:val="24"/>
        </w:rPr>
        <w:tab/>
        <w:t xml:space="preserve">     </w:t>
      </w:r>
    </w:p>
    <w:p w:rsidR="006E05A9" w:rsidRDefault="006E05A9" w:rsidP="006E05A9">
      <w:pPr>
        <w:ind w:left="720"/>
      </w:pPr>
      <w:r w:rsidRPr="006E05A9">
        <w:rPr>
          <w:color w:val="0000FF"/>
        </w:rPr>
        <w:t>Project is less than 0.8 kilometers (0.5 miles) from the Sanford Municipal Airport and directly in line with the runway.</w:t>
      </w:r>
      <w:r>
        <w:t xml:space="preserve">  The elevation of the new bridge will not be in the glidepath of oncoming planes.  However, the booms on cranes used during construction could affect the glidepath.  For this reason, NCDOT will keep appropriate flagging attached to the cranes at all times.</w:t>
      </w:r>
    </w:p>
    <w:p w:rsidR="006E05A9" w:rsidRDefault="006E05A9" w:rsidP="006E05A9">
      <w:pPr>
        <w:ind w:left="720"/>
      </w:pPr>
    </w:p>
    <w:p w:rsidR="006E05A9" w:rsidRDefault="006E05A9" w:rsidP="006E05A9">
      <w:pPr>
        <w:ind w:left="720"/>
      </w:pPr>
      <w:r>
        <w:t xml:space="preserve">The resident engineer will alert the </w:t>
      </w:r>
      <w:r w:rsidRPr="006E05A9">
        <w:rPr>
          <w:color w:val="0000FF"/>
        </w:rPr>
        <w:t xml:space="preserve">Sanford Municipal Airport Manager </w:t>
      </w:r>
      <w:r>
        <w:t>of its plans to construct well in advance of the availability date.</w:t>
      </w:r>
    </w:p>
    <w:p w:rsidR="006E05A9" w:rsidRDefault="006E05A9" w:rsidP="006E05A9">
      <w:pPr>
        <w:ind w:left="720"/>
      </w:pPr>
    </w:p>
    <w:p w:rsidR="006E05A9" w:rsidRPr="006E05A9" w:rsidRDefault="006E05A9" w:rsidP="006E05A9">
      <w:pPr>
        <w:ind w:left="720"/>
        <w:rPr>
          <w:color w:val="0000FF"/>
        </w:rPr>
      </w:pPr>
      <w:r>
        <w:t xml:space="preserve">If possible, no construction will take place at night.  However, if any construction is to be performed at night, this activity will be carefully coordinated with the </w:t>
      </w:r>
      <w:r w:rsidRPr="006E05A9">
        <w:rPr>
          <w:color w:val="0000FF"/>
        </w:rPr>
        <w:t>Sanford Municipal Airport.</w:t>
      </w:r>
    </w:p>
    <w:p w:rsidR="006E05A9" w:rsidRDefault="006E05A9">
      <w:pPr>
        <w:rPr>
          <w:b/>
        </w:rPr>
      </w:pPr>
    </w:p>
    <w:p w:rsidR="00CA46AE" w:rsidRDefault="00CA46AE">
      <w:pPr>
        <w:rPr>
          <w:b/>
        </w:rPr>
      </w:pPr>
      <w:r>
        <w:rPr>
          <w:b/>
        </w:rPr>
        <w:t>Anadromous Fish</w:t>
      </w:r>
    </w:p>
    <w:p w:rsidR="00CA46AE" w:rsidRDefault="00CA46AE" w:rsidP="00C0554F">
      <w:pPr>
        <w:pStyle w:val="BodyText3"/>
        <w:tabs>
          <w:tab w:val="clear" w:pos="720"/>
        </w:tabs>
        <w:spacing w:line="240" w:lineRule="auto"/>
        <w:ind w:left="720"/>
        <w:rPr>
          <w:sz w:val="24"/>
        </w:rPr>
      </w:pPr>
      <w:r>
        <w:rPr>
          <w:sz w:val="24"/>
        </w:rPr>
        <w:t xml:space="preserve">A moratorium on in-water construction will be in place from ________ </w:t>
      </w:r>
      <w:proofErr w:type="spellStart"/>
      <w:r>
        <w:rPr>
          <w:sz w:val="24"/>
        </w:rPr>
        <w:t>to</w:t>
      </w:r>
      <w:proofErr w:type="spellEnd"/>
      <w:r>
        <w:rPr>
          <w:sz w:val="24"/>
        </w:rPr>
        <w:t xml:space="preserve"> ________ of any given year.</w:t>
      </w:r>
    </w:p>
    <w:p w:rsidR="00CA46AE" w:rsidRDefault="00CA46AE" w:rsidP="00C0554F">
      <w:pPr>
        <w:ind w:left="720"/>
      </w:pPr>
    </w:p>
    <w:p w:rsidR="00CA46AE" w:rsidRDefault="00CA46AE" w:rsidP="00C0554F">
      <w:pPr>
        <w:pStyle w:val="BodyText3"/>
        <w:tabs>
          <w:tab w:val="clear" w:pos="720"/>
        </w:tabs>
        <w:spacing w:line="240" w:lineRule="auto"/>
        <w:ind w:left="720"/>
        <w:rPr>
          <w:i/>
          <w:noProof/>
          <w:sz w:val="24"/>
        </w:rPr>
      </w:pPr>
      <w:r>
        <w:rPr>
          <w:noProof/>
          <w:sz w:val="24"/>
        </w:rPr>
        <w:t>Stream Crossing Guidelines for Anadromous Fish will be implemented in the design and construction of this project.</w:t>
      </w:r>
    </w:p>
    <w:p w:rsidR="00CA46AE" w:rsidRDefault="00CA46AE">
      <w:pPr>
        <w:rPr>
          <w:b/>
        </w:rPr>
      </w:pPr>
    </w:p>
    <w:p w:rsidR="006E05A9" w:rsidRPr="00EA2AB7" w:rsidRDefault="006E05A9" w:rsidP="006E05A9">
      <w:pPr>
        <w:pStyle w:val="BodyText2"/>
        <w:spacing w:line="240" w:lineRule="auto"/>
        <w:ind w:right="0"/>
        <w:rPr>
          <w:b/>
          <w:sz w:val="24"/>
          <w:szCs w:val="24"/>
        </w:rPr>
      </w:pPr>
      <w:r>
        <w:rPr>
          <w:b/>
          <w:sz w:val="24"/>
          <w:szCs w:val="24"/>
        </w:rPr>
        <w:t>Archaeological Site</w:t>
      </w:r>
    </w:p>
    <w:p w:rsidR="006E05A9" w:rsidRDefault="006E05A9" w:rsidP="006E05A9">
      <w:pPr>
        <w:pStyle w:val="BodyText2"/>
        <w:spacing w:line="240" w:lineRule="auto"/>
        <w:ind w:left="720" w:right="0"/>
        <w:rPr>
          <w:sz w:val="24"/>
          <w:szCs w:val="24"/>
        </w:rPr>
      </w:pPr>
      <w:r w:rsidRPr="00EA2AB7">
        <w:rPr>
          <w:sz w:val="24"/>
          <w:szCs w:val="24"/>
        </w:rPr>
        <w:t>Th</w:t>
      </w:r>
      <w:r>
        <w:rPr>
          <w:sz w:val="24"/>
          <w:szCs w:val="24"/>
        </w:rPr>
        <w:t>e proposed project is located adjacent to</w:t>
      </w:r>
      <w:r w:rsidRPr="00EA2AB7">
        <w:rPr>
          <w:sz w:val="24"/>
          <w:szCs w:val="24"/>
        </w:rPr>
        <w:t xml:space="preserve"> one known archaeological site that is eligible for the National Register of Historic Places</w:t>
      </w:r>
      <w:r>
        <w:rPr>
          <w:sz w:val="24"/>
          <w:szCs w:val="24"/>
        </w:rPr>
        <w:t>.  N</w:t>
      </w:r>
      <w:r w:rsidRPr="00EA2AB7">
        <w:rPr>
          <w:sz w:val="24"/>
          <w:szCs w:val="24"/>
        </w:rPr>
        <w:t xml:space="preserve">o </w:t>
      </w:r>
      <w:r>
        <w:rPr>
          <w:sz w:val="24"/>
          <w:szCs w:val="24"/>
        </w:rPr>
        <w:t>ground disturbing activities outside the existing roadway limits and within the environment sensitive area should be done prior to recovery</w:t>
      </w:r>
      <w:r w:rsidRPr="00EA2AB7">
        <w:rPr>
          <w:sz w:val="24"/>
          <w:szCs w:val="24"/>
        </w:rPr>
        <w:t xml:space="preserve">.  </w:t>
      </w:r>
      <w:r>
        <w:rPr>
          <w:sz w:val="24"/>
          <w:szCs w:val="24"/>
        </w:rPr>
        <w:t xml:space="preserve"> If ground disturbing activities are required prior to recovery then the PDEA-Archaeology Group, </w:t>
      </w:r>
      <w:r w:rsidRPr="00EA2AB7">
        <w:rPr>
          <w:sz w:val="24"/>
          <w:szCs w:val="24"/>
        </w:rPr>
        <w:t>Matt Wilkerson (919-</w:t>
      </w:r>
      <w:r>
        <w:rPr>
          <w:sz w:val="24"/>
          <w:szCs w:val="24"/>
        </w:rPr>
        <w:t>431-1609</w:t>
      </w:r>
      <w:r w:rsidRPr="00EA2AB7">
        <w:rPr>
          <w:sz w:val="24"/>
          <w:szCs w:val="24"/>
        </w:rPr>
        <w:t>) </w:t>
      </w:r>
      <w:r>
        <w:rPr>
          <w:sz w:val="24"/>
          <w:szCs w:val="24"/>
        </w:rPr>
        <w:t xml:space="preserve">should be contacted. </w:t>
      </w:r>
    </w:p>
    <w:p w:rsidR="006E05A9" w:rsidRDefault="006E05A9">
      <w:pPr>
        <w:pStyle w:val="Heading4"/>
        <w:tabs>
          <w:tab w:val="clear" w:pos="720"/>
        </w:tabs>
        <w:spacing w:line="240" w:lineRule="auto"/>
        <w:rPr>
          <w:sz w:val="24"/>
        </w:rPr>
      </w:pPr>
    </w:p>
    <w:p w:rsidR="006E05A9" w:rsidRPr="003E2A82" w:rsidRDefault="006E05A9" w:rsidP="006E05A9">
      <w:pPr>
        <w:rPr>
          <w:b/>
        </w:rPr>
      </w:pPr>
      <w:r>
        <w:rPr>
          <w:b/>
        </w:rPr>
        <w:t>Burial Site</w:t>
      </w:r>
    </w:p>
    <w:p w:rsidR="006E05A9" w:rsidRPr="003E2A82" w:rsidRDefault="006E05A9" w:rsidP="006E05A9">
      <w:pPr>
        <w:ind w:left="720"/>
      </w:pPr>
      <w:r w:rsidRPr="003E2A82">
        <w:t xml:space="preserve">The proposed project involves the removal and relocation of </w:t>
      </w:r>
      <w:r w:rsidRPr="003E2A82">
        <w:rPr>
          <w:color w:val="0000FF"/>
        </w:rPr>
        <w:t>at least one known burial located in the Northwest quadrant of the project, just west of the ditch line paralleling SR 1101</w:t>
      </w:r>
      <w:r w:rsidRPr="003E2A82">
        <w:t>.  The Right-of-Way agent will notify the PDEA-Archaeology Group </w:t>
      </w:r>
      <w:r w:rsidRPr="003E2A82">
        <w:rPr>
          <w:color w:val="0000FF"/>
        </w:rPr>
        <w:t>[Matt Wilkerson (919-715-1561) and/or Paul J. Mohler (919-715-1555)]</w:t>
      </w:r>
      <w:r w:rsidRPr="003E2A82">
        <w:t xml:space="preserve"> at least 48 hours in advance of the removal and relocation of said burial(s).</w:t>
      </w:r>
    </w:p>
    <w:p w:rsidR="006E05A9" w:rsidRDefault="006E05A9">
      <w:pPr>
        <w:pStyle w:val="Heading4"/>
        <w:tabs>
          <w:tab w:val="clear" w:pos="720"/>
        </w:tabs>
        <w:spacing w:line="240" w:lineRule="auto"/>
        <w:rPr>
          <w:sz w:val="24"/>
        </w:rPr>
      </w:pPr>
    </w:p>
    <w:p w:rsidR="006E05A9" w:rsidRDefault="006E05A9" w:rsidP="006E05A9">
      <w:pPr>
        <w:pStyle w:val="Header"/>
        <w:tabs>
          <w:tab w:val="clear" w:pos="4320"/>
          <w:tab w:val="clear" w:pos="8640"/>
        </w:tabs>
        <w:rPr>
          <w:rFonts w:ascii="Times New Roman" w:hAnsi="Times New Roman"/>
          <w:b/>
        </w:rPr>
      </w:pPr>
      <w:r>
        <w:rPr>
          <w:rFonts w:ascii="Times New Roman" w:hAnsi="Times New Roman"/>
          <w:b/>
        </w:rPr>
        <w:t>Buffer Rules</w:t>
      </w:r>
    </w:p>
    <w:p w:rsidR="006E05A9" w:rsidRDefault="006E05A9" w:rsidP="006E05A9">
      <w:pPr>
        <w:pStyle w:val="Header"/>
        <w:tabs>
          <w:tab w:val="clear" w:pos="4320"/>
          <w:tab w:val="clear" w:pos="8640"/>
        </w:tabs>
        <w:ind w:left="720"/>
        <w:rPr>
          <w:rFonts w:ascii="Times New Roman" w:hAnsi="Times New Roman"/>
        </w:rPr>
      </w:pPr>
      <w:r>
        <w:rPr>
          <w:rFonts w:ascii="Times New Roman" w:hAnsi="Times New Roman"/>
        </w:rPr>
        <w:t xml:space="preserve">The </w:t>
      </w:r>
      <w:r w:rsidRPr="002B0A35">
        <w:rPr>
          <w:rFonts w:ascii="Times New Roman" w:hAnsi="Times New Roman"/>
          <w:color w:val="0000FF"/>
        </w:rPr>
        <w:t>Tar-Pamlico or Neuse</w:t>
      </w:r>
      <w:r>
        <w:rPr>
          <w:rFonts w:ascii="Times New Roman" w:hAnsi="Times New Roman"/>
        </w:rPr>
        <w:t xml:space="preserve"> River Basin Rule applies to this project.</w:t>
      </w:r>
    </w:p>
    <w:p w:rsidR="006E05A9" w:rsidRDefault="006E05A9">
      <w:pPr>
        <w:pStyle w:val="Heading4"/>
        <w:tabs>
          <w:tab w:val="clear" w:pos="720"/>
        </w:tabs>
        <w:spacing w:line="240" w:lineRule="auto"/>
        <w:rPr>
          <w:sz w:val="24"/>
        </w:rPr>
      </w:pPr>
    </w:p>
    <w:p w:rsidR="006E05A9" w:rsidRDefault="006E05A9">
      <w:pPr>
        <w:pStyle w:val="Heading4"/>
        <w:tabs>
          <w:tab w:val="clear" w:pos="720"/>
        </w:tabs>
        <w:spacing w:line="240" w:lineRule="auto"/>
        <w:rPr>
          <w:sz w:val="24"/>
        </w:rPr>
      </w:pPr>
    </w:p>
    <w:p w:rsidR="006E05A9" w:rsidRDefault="006E05A9">
      <w:pPr>
        <w:pStyle w:val="Heading4"/>
        <w:tabs>
          <w:tab w:val="clear" w:pos="720"/>
        </w:tabs>
        <w:spacing w:line="240" w:lineRule="auto"/>
        <w:rPr>
          <w:sz w:val="24"/>
        </w:rPr>
      </w:pPr>
    </w:p>
    <w:p w:rsidR="006E05A9" w:rsidRDefault="006E05A9"/>
    <w:p w:rsidR="006E05A9" w:rsidRDefault="006E05A9" w:rsidP="006E05A9">
      <w:pPr>
        <w:pStyle w:val="Header"/>
        <w:rPr>
          <w:rFonts w:ascii="Times New Roman" w:hAnsi="Times New Roman"/>
          <w:b/>
        </w:rPr>
      </w:pPr>
      <w:r>
        <w:rPr>
          <w:rFonts w:ascii="Times New Roman" w:hAnsi="Times New Roman"/>
          <w:b/>
        </w:rPr>
        <w:lastRenderedPageBreak/>
        <w:t xml:space="preserve">FEMA Coordination </w:t>
      </w:r>
    </w:p>
    <w:p w:rsidR="006E05A9" w:rsidRDefault="006E05A9" w:rsidP="006E05A9">
      <w:pPr>
        <w:ind w:left="720"/>
      </w:pPr>
      <w:r>
        <w:t>The Hydraulics Unit will coordinate with the NC Floodplain Mapping Program (FMP), to determine status of project with regard to applicability of NCDOT’S Memorandum of Agreement, or approval of a Conditional Letter of Map Revision (CLOMR) and subsequent final Letter of Map Revision (LOMR).</w:t>
      </w:r>
    </w:p>
    <w:p w:rsidR="006E05A9" w:rsidRDefault="006E05A9" w:rsidP="006E05A9">
      <w:pPr>
        <w:pStyle w:val="Header"/>
        <w:rPr>
          <w:rFonts w:ascii="Times New Roman" w:hAnsi="Times New Roman"/>
        </w:rPr>
      </w:pPr>
    </w:p>
    <w:p w:rsidR="006E05A9" w:rsidRPr="00BA0749" w:rsidRDefault="006E05A9" w:rsidP="006E05A9">
      <w:pPr>
        <w:pStyle w:val="Header"/>
        <w:ind w:left="720"/>
        <w:rPr>
          <w:rFonts w:ascii="Times New Roman" w:hAnsi="Times New Roman"/>
        </w:rPr>
      </w:pPr>
      <w:r>
        <w:rPr>
          <w:rFonts w:ascii="Times New Roman" w:hAnsi="Times New Roman"/>
        </w:rPr>
        <w:t>This project involves construction activities on or adjacent to FEMA-regulated stream(s). Therefore, the Division shall submit sealed as-built construction plans to the Hydraulics Unit upon completion of project construction, certifying that the drainage structure(s) and roadway embankment that are located within the 100-year floodplain were built as shown in the construction plans, both horizontally and vertically.</w:t>
      </w:r>
    </w:p>
    <w:p w:rsidR="006E05A9" w:rsidRDefault="006E05A9" w:rsidP="006E05A9"/>
    <w:p w:rsidR="006E05A9" w:rsidRDefault="006E05A9" w:rsidP="006E05A9">
      <w:pPr>
        <w:pStyle w:val="Header"/>
        <w:tabs>
          <w:tab w:val="clear" w:pos="4320"/>
          <w:tab w:val="clear" w:pos="8640"/>
        </w:tabs>
        <w:rPr>
          <w:rFonts w:ascii="Times New Roman" w:hAnsi="Times New Roman"/>
        </w:rPr>
      </w:pPr>
      <w:r>
        <w:rPr>
          <w:rFonts w:ascii="Times New Roman" w:hAnsi="Times New Roman"/>
          <w:b/>
        </w:rPr>
        <w:t>Greenway</w:t>
      </w:r>
    </w:p>
    <w:p w:rsidR="006E05A9" w:rsidRDefault="006E05A9" w:rsidP="006E05A9">
      <w:pPr>
        <w:pStyle w:val="Header"/>
        <w:tabs>
          <w:tab w:val="clear" w:pos="4320"/>
          <w:tab w:val="clear" w:pos="8640"/>
        </w:tabs>
        <w:ind w:left="720"/>
        <w:rPr>
          <w:rFonts w:ascii="Times New Roman" w:hAnsi="Times New Roman"/>
        </w:rPr>
      </w:pPr>
      <w:r w:rsidRPr="006E05A9">
        <w:rPr>
          <w:rFonts w:ascii="Times New Roman" w:hAnsi="Times New Roman"/>
          <w:color w:val="0000FF"/>
        </w:rPr>
        <w:t xml:space="preserve">Allowance will be made for a future ten-foot multi-use path under the bridge on the east side of the </w:t>
      </w:r>
      <w:proofErr w:type="spellStart"/>
      <w:r w:rsidRPr="006E05A9">
        <w:rPr>
          <w:rFonts w:ascii="Times New Roman" w:hAnsi="Times New Roman"/>
          <w:color w:val="0000FF"/>
        </w:rPr>
        <w:t>Eno</w:t>
      </w:r>
      <w:proofErr w:type="spellEnd"/>
      <w:r w:rsidRPr="006E05A9">
        <w:rPr>
          <w:rFonts w:ascii="Times New Roman" w:hAnsi="Times New Roman"/>
          <w:color w:val="0000FF"/>
        </w:rPr>
        <w:t xml:space="preserve"> River</w:t>
      </w:r>
      <w:r>
        <w:rPr>
          <w:rFonts w:ascii="Times New Roman" w:hAnsi="Times New Roman"/>
        </w:rPr>
        <w:t>.</w:t>
      </w:r>
    </w:p>
    <w:p w:rsidR="00CA46AE" w:rsidRDefault="00CA46AE">
      <w:pPr>
        <w:pStyle w:val="BodyTextIndent"/>
        <w:tabs>
          <w:tab w:val="clear" w:pos="720"/>
        </w:tabs>
        <w:ind w:left="0" w:firstLine="0"/>
        <w:rPr>
          <w:sz w:val="24"/>
        </w:rPr>
      </w:pPr>
    </w:p>
    <w:p w:rsidR="00CA46AE" w:rsidRDefault="00CA46AE">
      <w:pPr>
        <w:pStyle w:val="BodyTextIndent"/>
        <w:tabs>
          <w:tab w:val="clear" w:pos="720"/>
        </w:tabs>
        <w:ind w:left="0" w:firstLine="0"/>
        <w:rPr>
          <w:sz w:val="24"/>
        </w:rPr>
      </w:pPr>
    </w:p>
    <w:p w:rsidR="00CA46AE" w:rsidRDefault="00CA46AE"/>
    <w:p w:rsidR="00CA46AE" w:rsidRDefault="00CA46AE">
      <w:pPr>
        <w:pStyle w:val="Heading3"/>
      </w:pPr>
      <w:r>
        <w:t>Geodetic Markers</w:t>
      </w:r>
    </w:p>
    <w:p w:rsidR="00CA46AE" w:rsidRDefault="00CA46AE" w:rsidP="006E05A9">
      <w:pPr>
        <w:ind w:left="720"/>
      </w:pPr>
      <w:r>
        <w:t>There is a Geodetic survey marker on the northeast corner of the existing bridge that will be impacted by this project.  The NC Geodetic Survey will be contacted one month prior to the start of construction.</w:t>
      </w:r>
    </w:p>
    <w:p w:rsidR="00C060D2" w:rsidRDefault="00C060D2" w:rsidP="00C060D2">
      <w:pPr>
        <w:pStyle w:val="Heading4"/>
        <w:tabs>
          <w:tab w:val="clear" w:pos="720"/>
        </w:tabs>
        <w:spacing w:line="240" w:lineRule="auto"/>
        <w:rPr>
          <w:sz w:val="24"/>
        </w:rPr>
      </w:pPr>
    </w:p>
    <w:p w:rsidR="00C060D2" w:rsidRPr="009646A5" w:rsidRDefault="00C060D2" w:rsidP="00C060D2">
      <w:pPr>
        <w:pStyle w:val="Heading4"/>
        <w:tabs>
          <w:tab w:val="clear" w:pos="720"/>
        </w:tabs>
        <w:spacing w:line="240" w:lineRule="auto"/>
        <w:rPr>
          <w:color w:val="0000FF"/>
          <w:sz w:val="24"/>
        </w:rPr>
      </w:pPr>
      <w:r>
        <w:rPr>
          <w:sz w:val="24"/>
        </w:rPr>
        <w:t>High Quality Waters</w:t>
      </w:r>
    </w:p>
    <w:p w:rsidR="00C060D2" w:rsidRDefault="00C060D2" w:rsidP="00C060D2">
      <w:pPr>
        <w:ind w:left="720"/>
      </w:pPr>
      <w:r w:rsidRPr="006E77A3">
        <w:rPr>
          <w:color w:val="0000FF"/>
        </w:rPr>
        <w:t>Buffalo Creek/</w:t>
      </w:r>
      <w:r w:rsidRPr="009646A5">
        <w:rPr>
          <w:color w:val="0000FF"/>
        </w:rPr>
        <w:t xml:space="preserve">River is located in a watershed designated as </w:t>
      </w:r>
      <w:r w:rsidRPr="006E77A3">
        <w:rPr>
          <w:color w:val="0000FF"/>
        </w:rPr>
        <w:t>High Quality Waters</w:t>
      </w:r>
      <w:r>
        <w:t xml:space="preserve">.  There NCDOT will implement Design Standards in Sensitive Watersheds. </w:t>
      </w:r>
    </w:p>
    <w:p w:rsidR="00CA46AE" w:rsidRDefault="00CA46AE"/>
    <w:p w:rsidR="003D6ED5" w:rsidRDefault="003D6ED5" w:rsidP="003D6ED5">
      <w:pPr>
        <w:pStyle w:val="BodyTextIndent"/>
        <w:tabs>
          <w:tab w:val="clear" w:pos="720"/>
        </w:tabs>
        <w:ind w:left="0" w:firstLine="0"/>
        <w:rPr>
          <w:b/>
          <w:sz w:val="24"/>
        </w:rPr>
      </w:pPr>
      <w:r>
        <w:rPr>
          <w:b/>
          <w:sz w:val="24"/>
        </w:rPr>
        <w:t>Historic Bridge</w:t>
      </w:r>
    </w:p>
    <w:p w:rsidR="003D6ED5" w:rsidRDefault="003D6ED5" w:rsidP="003D6ED5">
      <w:pPr>
        <w:pStyle w:val="BodyTextIndent"/>
        <w:tabs>
          <w:tab w:val="clear" w:pos="720"/>
        </w:tabs>
        <w:ind w:firstLine="0"/>
        <w:rPr>
          <w:sz w:val="24"/>
        </w:rPr>
      </w:pPr>
      <w:r>
        <w:rPr>
          <w:sz w:val="24"/>
        </w:rPr>
        <w:t xml:space="preserve">Bridge No. </w:t>
      </w:r>
      <w:r w:rsidRPr="006E77A3">
        <w:rPr>
          <w:color w:val="0000FF"/>
          <w:sz w:val="24"/>
        </w:rPr>
        <w:t>39</w:t>
      </w:r>
      <w:r>
        <w:rPr>
          <w:sz w:val="24"/>
        </w:rPr>
        <w:t xml:space="preserve"> must be photographically recorded as described in the attached MOA</w:t>
      </w:r>
    </w:p>
    <w:p w:rsidR="003D6ED5" w:rsidRDefault="003D6ED5">
      <w:pPr>
        <w:pStyle w:val="Heading3"/>
      </w:pPr>
    </w:p>
    <w:p w:rsidR="00CA46AE" w:rsidRDefault="00CA46AE">
      <w:pPr>
        <w:pStyle w:val="Heading3"/>
      </w:pPr>
      <w:r>
        <w:t>USGS Gaging Station</w:t>
      </w:r>
    </w:p>
    <w:p w:rsidR="00CA46AE" w:rsidRDefault="00CA46AE" w:rsidP="006E05A9">
      <w:pPr>
        <w:ind w:left="720"/>
      </w:pPr>
      <w:r>
        <w:t>A USGS Gauging Station is presently attached to the bridge.  Please make contact with the person listed below:</w:t>
      </w:r>
    </w:p>
    <w:p w:rsidR="00CA46AE" w:rsidRPr="00C0554F" w:rsidRDefault="00CA46AE" w:rsidP="006E05A9">
      <w:pPr>
        <w:ind w:left="2250"/>
        <w:rPr>
          <w:color w:val="0000FF"/>
        </w:rPr>
      </w:pPr>
      <w:r w:rsidRPr="00C0554F">
        <w:rPr>
          <w:color w:val="0000FF"/>
        </w:rPr>
        <w:t>Jerald "Boo" Robinson</w:t>
      </w:r>
    </w:p>
    <w:p w:rsidR="00CA46AE" w:rsidRPr="00C0554F" w:rsidRDefault="00CA46AE" w:rsidP="006E05A9">
      <w:pPr>
        <w:ind w:left="1980"/>
        <w:rPr>
          <w:color w:val="0000FF"/>
        </w:rPr>
      </w:pPr>
      <w:r w:rsidRPr="00C0554F">
        <w:rPr>
          <w:color w:val="0000FF"/>
        </w:rPr>
        <w:t xml:space="preserve">     USGS, Water Resources Division</w:t>
      </w:r>
    </w:p>
    <w:p w:rsidR="00CA46AE" w:rsidRPr="00C0554F" w:rsidRDefault="00CA46AE" w:rsidP="006E05A9">
      <w:pPr>
        <w:ind w:left="1980"/>
        <w:rPr>
          <w:color w:val="0000FF"/>
        </w:rPr>
      </w:pPr>
      <w:r w:rsidRPr="00C0554F">
        <w:rPr>
          <w:color w:val="0000FF"/>
        </w:rPr>
        <w:t xml:space="preserve">     Charlotte, NC</w:t>
      </w:r>
    </w:p>
    <w:p w:rsidR="00CA46AE" w:rsidRDefault="00CA46AE" w:rsidP="006E05A9">
      <w:pPr>
        <w:ind w:left="1980"/>
      </w:pPr>
      <w:r>
        <w:t xml:space="preserve">     (704) 344-6272 Ext. 11</w:t>
      </w:r>
    </w:p>
    <w:p w:rsidR="00CA46AE" w:rsidRDefault="00CA46AE" w:rsidP="006E05A9">
      <w:pPr>
        <w:ind w:left="1980"/>
      </w:pPr>
      <w:r>
        <w:t xml:space="preserve">     jbrobins@usgs.gov</w:t>
      </w:r>
    </w:p>
    <w:p w:rsidR="00CA46AE" w:rsidRDefault="00CA46AE"/>
    <w:p w:rsidR="00CA46AE" w:rsidRDefault="00CA46AE">
      <w:pPr>
        <w:pStyle w:val="Heading3"/>
      </w:pPr>
      <w:r>
        <w:t>Underground Storage Tanks (UST’s)</w:t>
      </w:r>
      <w:r>
        <w:tab/>
      </w:r>
    </w:p>
    <w:p w:rsidR="00CA46AE" w:rsidRDefault="00CA46AE" w:rsidP="006E05A9">
      <w:pPr>
        <w:pStyle w:val="Header"/>
        <w:tabs>
          <w:tab w:val="clear" w:pos="4320"/>
          <w:tab w:val="clear" w:pos="8640"/>
        </w:tabs>
        <w:ind w:left="720"/>
        <w:rPr>
          <w:rFonts w:ascii="Times New Roman" w:hAnsi="Times New Roman"/>
        </w:rPr>
      </w:pPr>
      <w:r>
        <w:rPr>
          <w:rFonts w:ascii="Times New Roman" w:hAnsi="Times New Roman"/>
        </w:rPr>
        <w:t>If further design indicates potential impact to UST’s, preliminary site assessments for soil and groundwater contamination will be performed prior to right of way purchase.</w:t>
      </w:r>
    </w:p>
    <w:p w:rsidR="00CA46AE" w:rsidRDefault="00CA46AE">
      <w:pPr>
        <w:pStyle w:val="Header"/>
        <w:tabs>
          <w:tab w:val="clear" w:pos="4320"/>
          <w:tab w:val="clear" w:pos="8640"/>
        </w:tabs>
        <w:rPr>
          <w:rFonts w:ascii="Times New Roman" w:hAnsi="Times New Roman"/>
        </w:rPr>
      </w:pPr>
    </w:p>
    <w:p w:rsidR="00C060D2" w:rsidRDefault="00C060D2">
      <w:pPr>
        <w:pStyle w:val="Header"/>
        <w:tabs>
          <w:tab w:val="clear" w:pos="4320"/>
          <w:tab w:val="clear" w:pos="8640"/>
        </w:tabs>
        <w:rPr>
          <w:rFonts w:ascii="Times New Roman" w:hAnsi="Times New Roman"/>
        </w:rPr>
      </w:pPr>
      <w:bookmarkStart w:id="0" w:name="_GoBack"/>
      <w:bookmarkEnd w:id="0"/>
    </w:p>
    <w:p w:rsidR="00CA46AE" w:rsidRDefault="00CA46AE">
      <w:pPr>
        <w:pStyle w:val="Header"/>
        <w:tabs>
          <w:tab w:val="clear" w:pos="4320"/>
          <w:tab w:val="clear" w:pos="8640"/>
        </w:tabs>
        <w:rPr>
          <w:rFonts w:ascii="Times New Roman" w:hAnsi="Times New Roman"/>
          <w:b/>
        </w:rPr>
      </w:pPr>
      <w:r>
        <w:rPr>
          <w:rFonts w:ascii="Times New Roman" w:hAnsi="Times New Roman"/>
          <w:b/>
        </w:rPr>
        <w:lastRenderedPageBreak/>
        <w:t>School Bus Turn Around</w:t>
      </w:r>
    </w:p>
    <w:p w:rsidR="00CA46AE" w:rsidRPr="006E05A9" w:rsidRDefault="00CA46AE" w:rsidP="006E05A9">
      <w:pPr>
        <w:pStyle w:val="Header"/>
        <w:tabs>
          <w:tab w:val="clear" w:pos="4320"/>
          <w:tab w:val="clear" w:pos="8640"/>
        </w:tabs>
        <w:ind w:left="720"/>
        <w:rPr>
          <w:rFonts w:ascii="Times New Roman" w:hAnsi="Times New Roman"/>
          <w:color w:val="0000FF"/>
        </w:rPr>
      </w:pPr>
      <w:r w:rsidRPr="006E05A9">
        <w:rPr>
          <w:rFonts w:ascii="Times New Roman" w:hAnsi="Times New Roman"/>
          <w:color w:val="0000FF"/>
        </w:rPr>
        <w:t>The Director of School Transportation has requested a temporary bus turn around at a driveway located about 1 mile north of the bridge on SR 1507.  The existing driveway will be suitable with the addition of gravel and possible pipe replacement.  This can be included as a part of the special provisions of the construction contract.</w:t>
      </w:r>
    </w:p>
    <w:p w:rsidR="00CA46AE" w:rsidRDefault="00CA46AE">
      <w:pPr>
        <w:pStyle w:val="Header"/>
        <w:tabs>
          <w:tab w:val="clear" w:pos="4320"/>
          <w:tab w:val="clear" w:pos="8640"/>
        </w:tabs>
        <w:rPr>
          <w:rFonts w:ascii="Times New Roman" w:hAnsi="Times New Roman"/>
        </w:rPr>
      </w:pPr>
    </w:p>
    <w:p w:rsidR="006E05A9" w:rsidRDefault="006E05A9" w:rsidP="006E05A9">
      <w:pPr>
        <w:pStyle w:val="BodyTextIndent"/>
        <w:tabs>
          <w:tab w:val="clear" w:pos="720"/>
        </w:tabs>
        <w:ind w:left="0" w:firstLine="0"/>
        <w:rPr>
          <w:b/>
          <w:sz w:val="24"/>
        </w:rPr>
      </w:pPr>
      <w:r>
        <w:rPr>
          <w:b/>
          <w:sz w:val="24"/>
        </w:rPr>
        <w:t>Sidewalks</w:t>
      </w:r>
      <w:r>
        <w:rPr>
          <w:b/>
          <w:sz w:val="24"/>
        </w:rPr>
        <w:tab/>
      </w:r>
      <w:r>
        <w:rPr>
          <w:b/>
          <w:sz w:val="24"/>
        </w:rPr>
        <w:tab/>
      </w:r>
      <w:r>
        <w:rPr>
          <w:b/>
          <w:sz w:val="24"/>
        </w:rPr>
        <w:tab/>
      </w:r>
      <w:r>
        <w:rPr>
          <w:b/>
          <w:sz w:val="24"/>
        </w:rPr>
        <w:tab/>
      </w:r>
      <w:r>
        <w:rPr>
          <w:b/>
          <w:sz w:val="24"/>
        </w:rPr>
        <w:tab/>
      </w:r>
    </w:p>
    <w:p w:rsidR="006E05A9" w:rsidRDefault="006E05A9" w:rsidP="006E05A9">
      <w:pPr>
        <w:pStyle w:val="BodyTextIndent"/>
        <w:tabs>
          <w:tab w:val="clear" w:pos="720"/>
        </w:tabs>
        <w:ind w:firstLine="0"/>
        <w:rPr>
          <w:sz w:val="24"/>
        </w:rPr>
      </w:pPr>
      <w:r>
        <w:rPr>
          <w:sz w:val="24"/>
        </w:rPr>
        <w:t xml:space="preserve">Sidewalks are included on </w:t>
      </w:r>
      <w:r w:rsidRPr="006E05A9">
        <w:rPr>
          <w:color w:val="0000FF"/>
          <w:sz w:val="24"/>
        </w:rPr>
        <w:t>both sides for the entire length of the project</w:t>
      </w:r>
      <w:r>
        <w:rPr>
          <w:sz w:val="24"/>
        </w:rPr>
        <w:t xml:space="preserve">.  This should be included in the municipal agreement with the Town of </w:t>
      </w:r>
      <w:r w:rsidRPr="006E05A9">
        <w:rPr>
          <w:color w:val="0000FF"/>
          <w:sz w:val="24"/>
        </w:rPr>
        <w:t>Cary</w:t>
      </w:r>
    </w:p>
    <w:p w:rsidR="006E05A9" w:rsidRDefault="006E05A9" w:rsidP="006E05A9">
      <w:pPr>
        <w:pStyle w:val="BodyTextIndent"/>
        <w:tabs>
          <w:tab w:val="clear" w:pos="720"/>
        </w:tabs>
        <w:ind w:left="0" w:firstLine="0"/>
        <w:rPr>
          <w:b/>
          <w:sz w:val="24"/>
        </w:rPr>
      </w:pPr>
    </w:p>
    <w:p w:rsidR="006E05A9" w:rsidRDefault="006E05A9" w:rsidP="006E05A9">
      <w:pPr>
        <w:pStyle w:val="BodyTextIndent"/>
        <w:tabs>
          <w:tab w:val="clear" w:pos="720"/>
        </w:tabs>
        <w:ind w:left="0" w:firstLine="0"/>
        <w:rPr>
          <w:b/>
          <w:sz w:val="24"/>
        </w:rPr>
      </w:pPr>
      <w:r>
        <w:rPr>
          <w:b/>
          <w:sz w:val="24"/>
        </w:rPr>
        <w:t>Trout Waters</w:t>
      </w:r>
    </w:p>
    <w:p w:rsidR="006E05A9" w:rsidRDefault="006E05A9" w:rsidP="006E05A9">
      <w:pPr>
        <w:pStyle w:val="BodyTextIndent"/>
        <w:tabs>
          <w:tab w:val="clear" w:pos="720"/>
        </w:tabs>
        <w:ind w:firstLine="0"/>
        <w:jc w:val="both"/>
        <w:rPr>
          <w:sz w:val="24"/>
        </w:rPr>
      </w:pPr>
      <w:r>
        <w:rPr>
          <w:sz w:val="24"/>
        </w:rPr>
        <w:t xml:space="preserve">NCWRC has identified ______ creek as supporting a trout population.   Therefore a moratorium on all in water work will be in place from ____ </w:t>
      </w:r>
      <w:proofErr w:type="spellStart"/>
      <w:r>
        <w:rPr>
          <w:sz w:val="24"/>
        </w:rPr>
        <w:t>to</w:t>
      </w:r>
      <w:proofErr w:type="spellEnd"/>
      <w:r>
        <w:rPr>
          <w:sz w:val="24"/>
        </w:rPr>
        <w:t xml:space="preserve"> ____ of any given year.</w:t>
      </w:r>
    </w:p>
    <w:p w:rsidR="006E05A9" w:rsidRDefault="006E05A9" w:rsidP="006E05A9">
      <w:pPr>
        <w:pStyle w:val="BodyTextIndent"/>
        <w:tabs>
          <w:tab w:val="clear" w:pos="720"/>
        </w:tabs>
        <w:ind w:firstLine="0"/>
        <w:rPr>
          <w:sz w:val="24"/>
        </w:rPr>
      </w:pPr>
    </w:p>
    <w:p w:rsidR="006E05A9" w:rsidRDefault="006E05A9" w:rsidP="006E05A9">
      <w:pPr>
        <w:pStyle w:val="BodyTextIndent"/>
        <w:tabs>
          <w:tab w:val="clear" w:pos="720"/>
        </w:tabs>
        <w:ind w:firstLine="0"/>
        <w:rPr>
          <w:sz w:val="24"/>
        </w:rPr>
      </w:pPr>
      <w:r>
        <w:rPr>
          <w:sz w:val="24"/>
        </w:rPr>
        <w:t>NCDOT will implement</w:t>
      </w:r>
      <w:r w:rsidRPr="00C0554F">
        <w:rPr>
          <w:sz w:val="24"/>
        </w:rPr>
        <w:t xml:space="preserve"> </w:t>
      </w:r>
      <w:r>
        <w:rPr>
          <w:sz w:val="24"/>
          <w:u w:val="single"/>
        </w:rPr>
        <w:t>Guidelines for Construction of Highway Improvements Adjacent to or Crossing Trout Waters in North Carolina</w:t>
      </w:r>
      <w:r>
        <w:rPr>
          <w:sz w:val="24"/>
        </w:rPr>
        <w:t xml:space="preserve"> in the design and construction of this project.</w:t>
      </w:r>
    </w:p>
    <w:p w:rsidR="00CA46AE" w:rsidRDefault="00CA46AE">
      <w:pPr>
        <w:pStyle w:val="Header"/>
        <w:tabs>
          <w:tab w:val="clear" w:pos="4320"/>
          <w:tab w:val="clear" w:pos="8640"/>
        </w:tabs>
        <w:rPr>
          <w:rFonts w:ascii="Times New Roman" w:hAnsi="Times New Roman"/>
        </w:rPr>
      </w:pPr>
    </w:p>
    <w:p w:rsidR="006E05A9" w:rsidRDefault="006E05A9" w:rsidP="006E05A9">
      <w:pPr>
        <w:pStyle w:val="BodyTextIndent"/>
        <w:tabs>
          <w:tab w:val="clear" w:pos="720"/>
        </w:tabs>
        <w:ind w:left="0" w:firstLine="0"/>
        <w:rPr>
          <w:b/>
          <w:color w:val="0000FE"/>
          <w:sz w:val="20"/>
        </w:rPr>
      </w:pPr>
      <w:r>
        <w:rPr>
          <w:b/>
          <w:sz w:val="24"/>
        </w:rPr>
        <w:t xml:space="preserve">TVA Permit  </w:t>
      </w:r>
    </w:p>
    <w:p w:rsidR="006E05A9" w:rsidRDefault="006E05A9" w:rsidP="006E05A9">
      <w:pPr>
        <w:pStyle w:val="BodyTextIndent"/>
        <w:tabs>
          <w:tab w:val="clear" w:pos="720"/>
        </w:tabs>
        <w:ind w:firstLine="0"/>
        <w:rPr>
          <w:sz w:val="24"/>
        </w:rPr>
      </w:pPr>
      <w:r>
        <w:rPr>
          <w:sz w:val="24"/>
        </w:rPr>
        <w:t xml:space="preserve">The proposed project is located on the </w:t>
      </w:r>
      <w:r w:rsidRPr="006E05A9">
        <w:rPr>
          <w:color w:val="0000FF"/>
          <w:sz w:val="24"/>
        </w:rPr>
        <w:t>Fontana Lake Reservoir</w:t>
      </w:r>
      <w:r>
        <w:rPr>
          <w:sz w:val="24"/>
        </w:rPr>
        <w:t xml:space="preserve"> managed by the Tennessee Valley Authority (TVA).  The project will require approval under Section 26a of the TVA Act.</w:t>
      </w:r>
    </w:p>
    <w:p w:rsidR="00CA46AE" w:rsidRDefault="00CA46AE">
      <w:pPr>
        <w:pStyle w:val="Header"/>
        <w:tabs>
          <w:tab w:val="clear" w:pos="4320"/>
          <w:tab w:val="clear" w:pos="8640"/>
        </w:tabs>
        <w:rPr>
          <w:rFonts w:ascii="Times New Roman" w:hAnsi="Times New Roman"/>
          <w:b/>
        </w:rPr>
      </w:pPr>
    </w:p>
    <w:p w:rsidR="006C4A33" w:rsidRPr="006C4A33" w:rsidRDefault="006C4A33" w:rsidP="0018210A">
      <w:pPr>
        <w:pStyle w:val="BodyText2"/>
        <w:spacing w:line="240" w:lineRule="auto"/>
        <w:ind w:right="0"/>
        <w:rPr>
          <w:b/>
          <w:sz w:val="24"/>
          <w:szCs w:val="24"/>
        </w:rPr>
      </w:pPr>
      <w:r w:rsidRPr="006C4A33">
        <w:rPr>
          <w:b/>
          <w:sz w:val="24"/>
          <w:szCs w:val="24"/>
        </w:rPr>
        <w:t>Voluntary Agricultural District (VAD)</w:t>
      </w:r>
    </w:p>
    <w:p w:rsidR="006C4A33" w:rsidRDefault="006C4A33" w:rsidP="003D6ED5">
      <w:pPr>
        <w:pStyle w:val="BodyText2"/>
        <w:spacing w:line="240" w:lineRule="auto"/>
        <w:ind w:left="720" w:right="0"/>
        <w:rPr>
          <w:sz w:val="24"/>
          <w:szCs w:val="24"/>
        </w:rPr>
      </w:pPr>
      <w:r>
        <w:rPr>
          <w:sz w:val="24"/>
          <w:szCs w:val="24"/>
        </w:rPr>
        <w:t xml:space="preserve">This project is located </w:t>
      </w:r>
      <w:r w:rsidRPr="003D6ED5">
        <w:rPr>
          <w:b/>
          <w:sz w:val="24"/>
          <w:szCs w:val="24"/>
        </w:rPr>
        <w:t>within</w:t>
      </w:r>
      <w:r>
        <w:rPr>
          <w:sz w:val="24"/>
          <w:szCs w:val="24"/>
        </w:rPr>
        <w:t xml:space="preserve"> a VAD.  If any property holders refuse settlement, before pursuing condemnation, the Right of Way Branch must contact Project Development in order to pursue a public meeting with the VAD.  This does not mean that the Department cannot condemn but is a procedural requirement prior to condemnation.</w:t>
      </w:r>
    </w:p>
    <w:p w:rsidR="006C4A33" w:rsidRDefault="006C4A33" w:rsidP="0018210A">
      <w:pPr>
        <w:pStyle w:val="BodyText2"/>
        <w:spacing w:line="240" w:lineRule="auto"/>
        <w:ind w:right="0"/>
        <w:rPr>
          <w:sz w:val="24"/>
          <w:szCs w:val="24"/>
        </w:rPr>
      </w:pPr>
    </w:p>
    <w:sectPr w:rsidR="006C4A33">
      <w:footerReference w:type="default" r:id="rId8"/>
      <w:pgSz w:w="12240" w:h="15840" w:code="1"/>
      <w:pgMar w:top="1440" w:right="1800" w:bottom="1440" w:left="1800" w:header="720" w:footer="720" w:gutter="0"/>
      <w:paperSrc w:firs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42F" w:rsidRDefault="00E4042F">
      <w:r>
        <w:separator/>
      </w:r>
    </w:p>
  </w:endnote>
  <w:endnote w:type="continuationSeparator" w:id="0">
    <w:p w:rsidR="00E4042F" w:rsidRDefault="00E4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6AE" w:rsidRDefault="00CA46AE">
    <w:pPr>
      <w:pStyle w:val="Footer"/>
    </w:pPr>
    <w:r>
      <w:t>Categorical Exclusion</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C060D2">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060D2">
      <w:rPr>
        <w:rStyle w:val="PageNumber"/>
        <w:noProof/>
      </w:rPr>
      <w:t>3</w:t>
    </w:r>
    <w:r>
      <w:rPr>
        <w:rStyle w:val="PageNumber"/>
      </w:rPr>
      <w:fldChar w:fldCharType="end"/>
    </w:r>
  </w:p>
  <w:p w:rsidR="00CA46AE" w:rsidRDefault="00CA46AE">
    <w:pPr>
      <w:pStyle w:val="Footer"/>
    </w:pPr>
    <w:r>
      <w:t>Green Sheet</w:t>
    </w:r>
  </w:p>
  <w:p w:rsidR="009E0F66" w:rsidRPr="003D6ED5" w:rsidRDefault="00481AF1">
    <w:pPr>
      <w:pStyle w:val="Footer"/>
      <w:rPr>
        <w:color w:val="0000FF"/>
      </w:rPr>
    </w:pPr>
    <w:r w:rsidRPr="003D6ED5">
      <w:rPr>
        <w:color w:val="0000FF"/>
      </w:rPr>
      <w:t>April</w:t>
    </w:r>
    <w:r w:rsidR="00B94F60" w:rsidRPr="003D6ED5">
      <w:rPr>
        <w:color w:val="0000FF"/>
      </w:rPr>
      <w:t xml:space="preserve"> </w:t>
    </w:r>
    <w:r w:rsidR="009E0F66">
      <w:rPr>
        <w:color w:val="0000FF"/>
      </w:rP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42F" w:rsidRDefault="00E4042F">
      <w:r>
        <w:separator/>
      </w:r>
    </w:p>
  </w:footnote>
  <w:footnote w:type="continuationSeparator" w:id="0">
    <w:p w:rsidR="00E4042F" w:rsidRDefault="00E404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3605098E"/>
    <w:multiLevelType w:val="hybridMultilevel"/>
    <w:tmpl w:val="A03E0760"/>
    <w:lvl w:ilvl="0" w:tplc="E4F8859C">
      <w:start w:val="1"/>
      <w:numFmt w:val="bullet"/>
      <w:lvlText w:val=""/>
      <w:lvlJc w:val="left"/>
      <w:pPr>
        <w:tabs>
          <w:tab w:val="num" w:pos="720"/>
        </w:tabs>
        <w:ind w:left="720" w:hanging="360"/>
      </w:pPr>
      <w:rPr>
        <w:rFonts w:ascii="Wingdings" w:hAnsi="Wingdings" w:hint="default"/>
      </w:rPr>
    </w:lvl>
    <w:lvl w:ilvl="1" w:tplc="242AD166" w:tentative="1">
      <w:start w:val="1"/>
      <w:numFmt w:val="bullet"/>
      <w:lvlText w:val="o"/>
      <w:lvlJc w:val="left"/>
      <w:pPr>
        <w:tabs>
          <w:tab w:val="num" w:pos="1440"/>
        </w:tabs>
        <w:ind w:left="1440" w:hanging="360"/>
      </w:pPr>
      <w:rPr>
        <w:rFonts w:ascii="Courier New" w:hAnsi="Courier New" w:hint="default"/>
      </w:rPr>
    </w:lvl>
    <w:lvl w:ilvl="2" w:tplc="D14ABB88" w:tentative="1">
      <w:start w:val="1"/>
      <w:numFmt w:val="bullet"/>
      <w:lvlText w:val=""/>
      <w:lvlJc w:val="left"/>
      <w:pPr>
        <w:tabs>
          <w:tab w:val="num" w:pos="2160"/>
        </w:tabs>
        <w:ind w:left="2160" w:hanging="360"/>
      </w:pPr>
      <w:rPr>
        <w:rFonts w:ascii="Wingdings" w:hAnsi="Wingdings" w:hint="default"/>
      </w:rPr>
    </w:lvl>
    <w:lvl w:ilvl="3" w:tplc="F4EA3BA6" w:tentative="1">
      <w:start w:val="1"/>
      <w:numFmt w:val="bullet"/>
      <w:lvlText w:val=""/>
      <w:lvlJc w:val="left"/>
      <w:pPr>
        <w:tabs>
          <w:tab w:val="num" w:pos="2880"/>
        </w:tabs>
        <w:ind w:left="2880" w:hanging="360"/>
      </w:pPr>
      <w:rPr>
        <w:rFonts w:ascii="Symbol" w:hAnsi="Symbol" w:hint="default"/>
      </w:rPr>
    </w:lvl>
    <w:lvl w:ilvl="4" w:tplc="AE769046" w:tentative="1">
      <w:start w:val="1"/>
      <w:numFmt w:val="bullet"/>
      <w:lvlText w:val="o"/>
      <w:lvlJc w:val="left"/>
      <w:pPr>
        <w:tabs>
          <w:tab w:val="num" w:pos="3600"/>
        </w:tabs>
        <w:ind w:left="3600" w:hanging="360"/>
      </w:pPr>
      <w:rPr>
        <w:rFonts w:ascii="Courier New" w:hAnsi="Courier New" w:hint="default"/>
      </w:rPr>
    </w:lvl>
    <w:lvl w:ilvl="5" w:tplc="462A35E0" w:tentative="1">
      <w:start w:val="1"/>
      <w:numFmt w:val="bullet"/>
      <w:lvlText w:val=""/>
      <w:lvlJc w:val="left"/>
      <w:pPr>
        <w:tabs>
          <w:tab w:val="num" w:pos="4320"/>
        </w:tabs>
        <w:ind w:left="4320" w:hanging="360"/>
      </w:pPr>
      <w:rPr>
        <w:rFonts w:ascii="Wingdings" w:hAnsi="Wingdings" w:hint="default"/>
      </w:rPr>
    </w:lvl>
    <w:lvl w:ilvl="6" w:tplc="42F89A80" w:tentative="1">
      <w:start w:val="1"/>
      <w:numFmt w:val="bullet"/>
      <w:lvlText w:val=""/>
      <w:lvlJc w:val="left"/>
      <w:pPr>
        <w:tabs>
          <w:tab w:val="num" w:pos="5040"/>
        </w:tabs>
        <w:ind w:left="5040" w:hanging="360"/>
      </w:pPr>
      <w:rPr>
        <w:rFonts w:ascii="Symbol" w:hAnsi="Symbol" w:hint="default"/>
      </w:rPr>
    </w:lvl>
    <w:lvl w:ilvl="7" w:tplc="AE00C0D0" w:tentative="1">
      <w:start w:val="1"/>
      <w:numFmt w:val="bullet"/>
      <w:lvlText w:val="o"/>
      <w:lvlJc w:val="left"/>
      <w:pPr>
        <w:tabs>
          <w:tab w:val="num" w:pos="5760"/>
        </w:tabs>
        <w:ind w:left="5760" w:hanging="360"/>
      </w:pPr>
      <w:rPr>
        <w:rFonts w:ascii="Courier New" w:hAnsi="Courier New" w:hint="default"/>
      </w:rPr>
    </w:lvl>
    <w:lvl w:ilvl="8" w:tplc="815E922C" w:tentative="1">
      <w:start w:val="1"/>
      <w:numFmt w:val="bullet"/>
      <w:lvlText w:val=""/>
      <w:lvlJc w:val="left"/>
      <w:pPr>
        <w:tabs>
          <w:tab w:val="num" w:pos="6480"/>
        </w:tabs>
        <w:ind w:left="6480" w:hanging="360"/>
      </w:pPr>
      <w:rPr>
        <w:rFonts w:ascii="Wingdings" w:hAnsi="Wingdings" w:hint="default"/>
      </w:rPr>
    </w:lvl>
  </w:abstractNum>
  <w:abstractNum w:abstractNumId="2">
    <w:nsid w:val="48E70CA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o:colormenu v:ext="edit" fillcolor="none [130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2CB"/>
    <w:rsid w:val="0000291F"/>
    <w:rsid w:val="0001104D"/>
    <w:rsid w:val="000248FD"/>
    <w:rsid w:val="00101063"/>
    <w:rsid w:val="0018210A"/>
    <w:rsid w:val="001A42F6"/>
    <w:rsid w:val="002248ED"/>
    <w:rsid w:val="00224EC2"/>
    <w:rsid w:val="00275085"/>
    <w:rsid w:val="00285D73"/>
    <w:rsid w:val="002B0A35"/>
    <w:rsid w:val="00315E36"/>
    <w:rsid w:val="00337BE3"/>
    <w:rsid w:val="003468F3"/>
    <w:rsid w:val="003554B6"/>
    <w:rsid w:val="003D6ED5"/>
    <w:rsid w:val="003E2A82"/>
    <w:rsid w:val="003F5418"/>
    <w:rsid w:val="004734BE"/>
    <w:rsid w:val="00481AF1"/>
    <w:rsid w:val="004C71FD"/>
    <w:rsid w:val="004D13A0"/>
    <w:rsid w:val="004E6BDC"/>
    <w:rsid w:val="00500EB4"/>
    <w:rsid w:val="005236BB"/>
    <w:rsid w:val="00526D7B"/>
    <w:rsid w:val="00544ABF"/>
    <w:rsid w:val="00576EB3"/>
    <w:rsid w:val="005A3FCC"/>
    <w:rsid w:val="005C3CCF"/>
    <w:rsid w:val="005C7129"/>
    <w:rsid w:val="005E35CF"/>
    <w:rsid w:val="00635D49"/>
    <w:rsid w:val="006521C9"/>
    <w:rsid w:val="006A42CB"/>
    <w:rsid w:val="006C4A33"/>
    <w:rsid w:val="006E05A9"/>
    <w:rsid w:val="006E77A3"/>
    <w:rsid w:val="0079380B"/>
    <w:rsid w:val="0087732B"/>
    <w:rsid w:val="00951610"/>
    <w:rsid w:val="009646A5"/>
    <w:rsid w:val="00971FBE"/>
    <w:rsid w:val="009E0F66"/>
    <w:rsid w:val="009F0AFF"/>
    <w:rsid w:val="00A82BA5"/>
    <w:rsid w:val="00B94F60"/>
    <w:rsid w:val="00B96BF6"/>
    <w:rsid w:val="00BA0749"/>
    <w:rsid w:val="00BA50D5"/>
    <w:rsid w:val="00C0554F"/>
    <w:rsid w:val="00C060D2"/>
    <w:rsid w:val="00C1573D"/>
    <w:rsid w:val="00C64EF4"/>
    <w:rsid w:val="00CA0760"/>
    <w:rsid w:val="00CA46AE"/>
    <w:rsid w:val="00CB6DA3"/>
    <w:rsid w:val="00D02E9B"/>
    <w:rsid w:val="00D1387F"/>
    <w:rsid w:val="00D518C5"/>
    <w:rsid w:val="00E10DF5"/>
    <w:rsid w:val="00E4042F"/>
    <w:rsid w:val="00E75191"/>
    <w:rsid w:val="00E96627"/>
    <w:rsid w:val="00EB0159"/>
    <w:rsid w:val="00F150B1"/>
    <w:rsid w:val="00F66F6C"/>
    <w:rsid w:val="00F6796B"/>
    <w:rsid w:val="00F8560B"/>
    <w:rsid w:val="00F95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colormenu v:ext="edit" fillcolor="none [130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tabs>
        <w:tab w:val="left" w:pos="288"/>
        <w:tab w:val="left" w:pos="720"/>
        <w:tab w:val="left" w:pos="5940"/>
        <w:tab w:val="left" w:pos="6660"/>
      </w:tabs>
      <w:spacing w:line="240" w:lineRule="exact"/>
      <w:ind w:right="-144"/>
      <w:outlineLvl w:val="1"/>
    </w:pPr>
    <w:rPr>
      <w:b/>
      <w:sz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tabs>
        <w:tab w:val="left" w:pos="720"/>
      </w:tabs>
      <w:spacing w:line="240" w:lineRule="exact"/>
      <w:outlineLvl w:val="3"/>
    </w:pPr>
    <w:rPr>
      <w:b/>
      <w:sz w:val="22"/>
    </w:rPr>
  </w:style>
  <w:style w:type="paragraph" w:styleId="Heading5">
    <w:name w:val="heading 5"/>
    <w:basedOn w:val="Normal"/>
    <w:next w:val="Normal"/>
    <w:qFormat/>
    <w:pPr>
      <w:keepNext/>
      <w:outlineLvl w:val="4"/>
    </w:pPr>
    <w:rPr>
      <w:b/>
      <w:bCs/>
      <w:i/>
      <w:iCs/>
      <w:sz w:val="22"/>
    </w:rPr>
  </w:style>
  <w:style w:type="paragraph" w:styleId="Heading6">
    <w:name w:val="heading 6"/>
    <w:basedOn w:val="Normal"/>
    <w:next w:val="Normal"/>
    <w:qFormat/>
    <w:pPr>
      <w:keepNext/>
      <w:outlineLvl w:val="5"/>
    </w:pPr>
    <w:rPr>
      <w:i/>
      <w:iCs/>
      <w:sz w:val="22"/>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jc w:val="center"/>
      <w:outlineLvl w:val="7"/>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Univers" w:hAnsi="Univers"/>
    </w:rPr>
  </w:style>
  <w:style w:type="paragraph" w:styleId="BodyTextIndent2">
    <w:name w:val="Body Text Indent 2"/>
    <w:basedOn w:val="Normal"/>
    <w:pPr>
      <w:ind w:firstLine="720"/>
    </w:pPr>
    <w:rPr>
      <w:rFonts w:ascii="Arial" w:hAnsi="Arial"/>
    </w:rPr>
  </w:style>
  <w:style w:type="paragraph" w:styleId="BodyTextIndent3">
    <w:name w:val="Body Text Indent 3"/>
    <w:basedOn w:val="Normal"/>
    <w:pPr>
      <w:ind w:firstLine="720"/>
    </w:pPr>
    <w:rPr>
      <w:sz w:val="22"/>
    </w:rPr>
  </w:style>
  <w:style w:type="paragraph" w:styleId="BodyText">
    <w:name w:val="Body Text"/>
    <w:basedOn w:val="Normal"/>
    <w:rPr>
      <w:b/>
      <w:sz w:val="22"/>
    </w:rPr>
  </w:style>
  <w:style w:type="paragraph" w:styleId="Footer">
    <w:name w:val="footer"/>
    <w:basedOn w:val="Normal"/>
    <w:pPr>
      <w:tabs>
        <w:tab w:val="center" w:pos="4320"/>
        <w:tab w:val="right" w:pos="8640"/>
      </w:tabs>
    </w:pPr>
    <w:rPr>
      <w:rFonts w:ascii="Univers" w:hAnsi="Univers"/>
      <w:sz w:val="20"/>
    </w:rPr>
  </w:style>
  <w:style w:type="character" w:styleId="PageNumber">
    <w:name w:val="page number"/>
    <w:basedOn w:val="DefaultParagraphFont"/>
  </w:style>
  <w:style w:type="paragraph" w:styleId="BodyText2">
    <w:name w:val="Body Text 2"/>
    <w:basedOn w:val="Normal"/>
    <w:pPr>
      <w:tabs>
        <w:tab w:val="left" w:pos="720"/>
        <w:tab w:val="left" w:pos="1152"/>
        <w:tab w:val="left" w:pos="1872"/>
        <w:tab w:val="left" w:pos="2448"/>
        <w:tab w:val="left" w:pos="3024"/>
        <w:tab w:val="left" w:pos="3600"/>
        <w:tab w:val="left" w:pos="4176"/>
        <w:tab w:val="left" w:pos="4752"/>
        <w:tab w:val="left" w:pos="5472"/>
        <w:tab w:val="left" w:pos="6048"/>
        <w:tab w:val="left" w:pos="6624"/>
        <w:tab w:val="left" w:pos="7200"/>
        <w:tab w:val="left" w:pos="7776"/>
        <w:tab w:val="left" w:pos="8352"/>
        <w:tab w:val="left" w:pos="8640"/>
      </w:tabs>
      <w:spacing w:line="240" w:lineRule="exact"/>
      <w:ind w:right="-864"/>
    </w:pPr>
    <w:rPr>
      <w:sz w:val="22"/>
    </w:rPr>
  </w:style>
  <w:style w:type="paragraph" w:styleId="BodyText3">
    <w:name w:val="Body Text 3"/>
    <w:basedOn w:val="Normal"/>
    <w:pPr>
      <w:tabs>
        <w:tab w:val="left" w:pos="720"/>
      </w:tabs>
      <w:spacing w:line="240" w:lineRule="exact"/>
    </w:pPr>
    <w:rPr>
      <w:sz w:val="22"/>
    </w:rPr>
  </w:style>
  <w:style w:type="paragraph" w:styleId="BodyTextIndent">
    <w:name w:val="Body Text Indent"/>
    <w:basedOn w:val="Normal"/>
    <w:pPr>
      <w:tabs>
        <w:tab w:val="left" w:pos="720"/>
      </w:tabs>
      <w:spacing w:line="240" w:lineRule="exact"/>
      <w:ind w:left="720" w:hanging="720"/>
    </w:pPr>
    <w:rPr>
      <w:sz w:val="22"/>
    </w:rPr>
  </w:style>
  <w:style w:type="paragraph" w:customStyle="1" w:styleId="toa">
    <w:name w:val="toa"/>
    <w:basedOn w:val="Normal"/>
    <w:pPr>
      <w:widowControl w:val="0"/>
      <w:tabs>
        <w:tab w:val="left" w:pos="9000"/>
        <w:tab w:val="right" w:pos="9360"/>
      </w:tabs>
      <w:suppressAutoHyphens/>
    </w:pPr>
    <w:rPr>
      <w:rFonts w:ascii="Courier New" w:hAnsi="Courier New"/>
    </w:rPr>
  </w:style>
  <w:style w:type="character" w:customStyle="1" w:styleId="HeaderChar">
    <w:name w:val="Header Char"/>
    <w:link w:val="Header"/>
    <w:rsid w:val="00315E36"/>
    <w:rPr>
      <w:rFonts w:ascii="Univers" w:hAnsi="Univer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tabs>
        <w:tab w:val="left" w:pos="288"/>
        <w:tab w:val="left" w:pos="720"/>
        <w:tab w:val="left" w:pos="5940"/>
        <w:tab w:val="left" w:pos="6660"/>
      </w:tabs>
      <w:spacing w:line="240" w:lineRule="exact"/>
      <w:ind w:right="-144"/>
      <w:outlineLvl w:val="1"/>
    </w:pPr>
    <w:rPr>
      <w:b/>
      <w:sz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tabs>
        <w:tab w:val="left" w:pos="720"/>
      </w:tabs>
      <w:spacing w:line="240" w:lineRule="exact"/>
      <w:outlineLvl w:val="3"/>
    </w:pPr>
    <w:rPr>
      <w:b/>
      <w:sz w:val="22"/>
    </w:rPr>
  </w:style>
  <w:style w:type="paragraph" w:styleId="Heading5">
    <w:name w:val="heading 5"/>
    <w:basedOn w:val="Normal"/>
    <w:next w:val="Normal"/>
    <w:qFormat/>
    <w:pPr>
      <w:keepNext/>
      <w:outlineLvl w:val="4"/>
    </w:pPr>
    <w:rPr>
      <w:b/>
      <w:bCs/>
      <w:i/>
      <w:iCs/>
      <w:sz w:val="22"/>
    </w:rPr>
  </w:style>
  <w:style w:type="paragraph" w:styleId="Heading6">
    <w:name w:val="heading 6"/>
    <w:basedOn w:val="Normal"/>
    <w:next w:val="Normal"/>
    <w:qFormat/>
    <w:pPr>
      <w:keepNext/>
      <w:outlineLvl w:val="5"/>
    </w:pPr>
    <w:rPr>
      <w:i/>
      <w:iCs/>
      <w:sz w:val="22"/>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jc w:val="center"/>
      <w:outlineLvl w:val="7"/>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Univers" w:hAnsi="Univers"/>
    </w:rPr>
  </w:style>
  <w:style w:type="paragraph" w:styleId="BodyTextIndent2">
    <w:name w:val="Body Text Indent 2"/>
    <w:basedOn w:val="Normal"/>
    <w:pPr>
      <w:ind w:firstLine="720"/>
    </w:pPr>
    <w:rPr>
      <w:rFonts w:ascii="Arial" w:hAnsi="Arial"/>
    </w:rPr>
  </w:style>
  <w:style w:type="paragraph" w:styleId="BodyTextIndent3">
    <w:name w:val="Body Text Indent 3"/>
    <w:basedOn w:val="Normal"/>
    <w:pPr>
      <w:ind w:firstLine="720"/>
    </w:pPr>
    <w:rPr>
      <w:sz w:val="22"/>
    </w:rPr>
  </w:style>
  <w:style w:type="paragraph" w:styleId="BodyText">
    <w:name w:val="Body Text"/>
    <w:basedOn w:val="Normal"/>
    <w:rPr>
      <w:b/>
      <w:sz w:val="22"/>
    </w:rPr>
  </w:style>
  <w:style w:type="paragraph" w:styleId="Footer">
    <w:name w:val="footer"/>
    <w:basedOn w:val="Normal"/>
    <w:pPr>
      <w:tabs>
        <w:tab w:val="center" w:pos="4320"/>
        <w:tab w:val="right" w:pos="8640"/>
      </w:tabs>
    </w:pPr>
    <w:rPr>
      <w:rFonts w:ascii="Univers" w:hAnsi="Univers"/>
      <w:sz w:val="20"/>
    </w:rPr>
  </w:style>
  <w:style w:type="character" w:styleId="PageNumber">
    <w:name w:val="page number"/>
    <w:basedOn w:val="DefaultParagraphFont"/>
  </w:style>
  <w:style w:type="paragraph" w:styleId="BodyText2">
    <w:name w:val="Body Text 2"/>
    <w:basedOn w:val="Normal"/>
    <w:pPr>
      <w:tabs>
        <w:tab w:val="left" w:pos="720"/>
        <w:tab w:val="left" w:pos="1152"/>
        <w:tab w:val="left" w:pos="1872"/>
        <w:tab w:val="left" w:pos="2448"/>
        <w:tab w:val="left" w:pos="3024"/>
        <w:tab w:val="left" w:pos="3600"/>
        <w:tab w:val="left" w:pos="4176"/>
        <w:tab w:val="left" w:pos="4752"/>
        <w:tab w:val="left" w:pos="5472"/>
        <w:tab w:val="left" w:pos="6048"/>
        <w:tab w:val="left" w:pos="6624"/>
        <w:tab w:val="left" w:pos="7200"/>
        <w:tab w:val="left" w:pos="7776"/>
        <w:tab w:val="left" w:pos="8352"/>
        <w:tab w:val="left" w:pos="8640"/>
      </w:tabs>
      <w:spacing w:line="240" w:lineRule="exact"/>
      <w:ind w:right="-864"/>
    </w:pPr>
    <w:rPr>
      <w:sz w:val="22"/>
    </w:rPr>
  </w:style>
  <w:style w:type="paragraph" w:styleId="BodyText3">
    <w:name w:val="Body Text 3"/>
    <w:basedOn w:val="Normal"/>
    <w:pPr>
      <w:tabs>
        <w:tab w:val="left" w:pos="720"/>
      </w:tabs>
      <w:spacing w:line="240" w:lineRule="exact"/>
    </w:pPr>
    <w:rPr>
      <w:sz w:val="22"/>
    </w:rPr>
  </w:style>
  <w:style w:type="paragraph" w:styleId="BodyTextIndent">
    <w:name w:val="Body Text Indent"/>
    <w:basedOn w:val="Normal"/>
    <w:pPr>
      <w:tabs>
        <w:tab w:val="left" w:pos="720"/>
      </w:tabs>
      <w:spacing w:line="240" w:lineRule="exact"/>
      <w:ind w:left="720" w:hanging="720"/>
    </w:pPr>
    <w:rPr>
      <w:sz w:val="22"/>
    </w:rPr>
  </w:style>
  <w:style w:type="paragraph" w:customStyle="1" w:styleId="toa">
    <w:name w:val="toa"/>
    <w:basedOn w:val="Normal"/>
    <w:pPr>
      <w:widowControl w:val="0"/>
      <w:tabs>
        <w:tab w:val="left" w:pos="9000"/>
        <w:tab w:val="right" w:pos="9360"/>
      </w:tabs>
      <w:suppressAutoHyphens/>
    </w:pPr>
    <w:rPr>
      <w:rFonts w:ascii="Courier New" w:hAnsi="Courier New"/>
    </w:rPr>
  </w:style>
  <w:style w:type="character" w:customStyle="1" w:styleId="HeaderChar">
    <w:name w:val="Header Char"/>
    <w:link w:val="Header"/>
    <w:rsid w:val="00315E36"/>
    <w:rPr>
      <w:rFonts w:ascii="Univers" w:hAnsi="Univer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47373">
      <w:bodyDiv w:val="1"/>
      <w:marLeft w:val="0"/>
      <w:marRight w:val="0"/>
      <w:marTop w:val="0"/>
      <w:marBottom w:val="0"/>
      <w:divBdr>
        <w:top w:val="none" w:sz="0" w:space="0" w:color="auto"/>
        <w:left w:val="none" w:sz="0" w:space="0" w:color="auto"/>
        <w:bottom w:val="none" w:sz="0" w:space="0" w:color="auto"/>
        <w:right w:val="none" w:sz="0" w:space="0" w:color="auto"/>
      </w:divBdr>
    </w:div>
    <w:div w:id="1773628654">
      <w:bodyDiv w:val="1"/>
      <w:marLeft w:val="0"/>
      <w:marRight w:val="0"/>
      <w:marTop w:val="0"/>
      <w:marBottom w:val="0"/>
      <w:divBdr>
        <w:top w:val="none" w:sz="0" w:space="0" w:color="auto"/>
        <w:left w:val="none" w:sz="0" w:space="0" w:color="auto"/>
        <w:bottom w:val="none" w:sz="0" w:space="0" w:color="auto"/>
        <w:right w:val="none" w:sz="0" w:space="0" w:color="auto"/>
      </w:divBdr>
    </w:div>
    <w:div w:id="1983194757">
      <w:bodyDiv w:val="1"/>
      <w:marLeft w:val="0"/>
      <w:marRight w:val="0"/>
      <w:marTop w:val="0"/>
      <w:marBottom w:val="0"/>
      <w:divBdr>
        <w:top w:val="none" w:sz="0" w:space="0" w:color="auto"/>
        <w:left w:val="none" w:sz="0" w:space="0" w:color="auto"/>
        <w:bottom w:val="none" w:sz="0" w:space="0" w:color="auto"/>
        <w:right w:val="none" w:sz="0" w:space="0" w:color="auto"/>
      </w:divBdr>
    </w:div>
    <w:div w:id="207272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A810D1B901B44ACB79E079335A3FF" ma:contentTypeVersion="1" ma:contentTypeDescription="Create a new document." ma:contentTypeScope="" ma:versionID="ca2d1846856485467008dd353d877913">
  <xsd:schema xmlns:xsd="http://www.w3.org/2001/XMLSchema" xmlns:xs="http://www.w3.org/2001/XMLSchema" xmlns:p="http://schemas.microsoft.com/office/2006/metadata/properties" xmlns:ns1="http://schemas.microsoft.com/sharepoint/v3" xmlns:ns2="725b9b1f-91c5-4804-815f-3b5f0ffb0426" targetNamespace="http://schemas.microsoft.com/office/2006/metadata/properties" ma:root="true" ma:fieldsID="faaded9bddf32459ebbc3f08850b3fdc" ns1:_="" ns2:_="">
    <xsd:import namespace="http://schemas.microsoft.com/sharepoint/v3"/>
    <xsd:import namespace="725b9b1f-91c5-4804-815f-3b5f0ffb0426"/>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5b9b1f-91c5-4804-815f-3b5f0ffb042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6f00c2e-ac5c-418b-9f13-a0771dbd417d">INSIDE-617293008-87</_dlc_DocId>
    <_dlc_DocIdUrl xmlns="16f00c2e-ac5c-418b-9f13-a0771dbd417d">
      <Url>https://connect.ncdot.gov/projects/Project-Management/_layouts/15/DocIdRedir.aspx?ID=INSIDE-617293008-87</Url>
      <Description>INSIDE-617293008-87</Description>
    </_dlc_DocIdUrl>
    <URL xmlns="http://schemas.microsoft.com/sharepoint/v3">
      <Url xsi:nil="true"/>
      <Description xsi:nil="true"/>
    </URL>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EDC6FC54C0D941ABCD3B8B21EE836D" ma:contentTypeVersion="16" ma:contentTypeDescription="Create a new document." ma:contentTypeScope="" ma:versionID="bf398fafc71efd5839d8cdea9473ed8c">
  <xsd:schema xmlns:xsd="http://www.w3.org/2001/XMLSchema" xmlns:xs="http://www.w3.org/2001/XMLSchema" xmlns:p="http://schemas.microsoft.com/office/2006/metadata/properties" xmlns:ns1="http://schemas.microsoft.com/sharepoint/v3" xmlns:ns2="16f00c2e-ac5c-418b-9f13-a0771dbd417d" xmlns:ns3="http://schemas.microsoft.com/sharepoint/v4" targetNamespace="http://schemas.microsoft.com/office/2006/metadata/properties" ma:root="true" ma:fieldsID="2e6737e2c01fb519ccf9b0a91ff94445" ns1:_="" ns2:_="" ns3:_="">
    <xsd:import namespace="http://schemas.microsoft.com/sharepoint/v3"/>
    <xsd:import namespace="16f00c2e-ac5c-418b-9f13-a0771dbd417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3D7176B0-2EF3-4898-9D02-1C84E63B55A7}"/>
</file>

<file path=customXml/itemProps2.xml><?xml version="1.0" encoding="utf-8"?>
<ds:datastoreItem xmlns:ds="http://schemas.openxmlformats.org/officeDocument/2006/customXml" ds:itemID="{EAD0FC32-5014-4EBC-AD22-0769333CA038}"/>
</file>

<file path=customXml/itemProps3.xml><?xml version="1.0" encoding="utf-8"?>
<ds:datastoreItem xmlns:ds="http://schemas.openxmlformats.org/officeDocument/2006/customXml" ds:itemID="{E0F75DDD-7C8B-4EF4-9685-5ECF4AD1C272}"/>
</file>

<file path=customXml/itemProps4.xml><?xml version="1.0" encoding="utf-8"?>
<ds:datastoreItem xmlns:ds="http://schemas.openxmlformats.org/officeDocument/2006/customXml" ds:itemID="{3CB47A88-EEF9-4EE2-ADAA-C6EE636322D8}"/>
</file>

<file path=customXml/itemProps5.xml><?xml version="1.0" encoding="utf-8"?>
<ds:datastoreItem xmlns:ds="http://schemas.openxmlformats.org/officeDocument/2006/customXml" ds:itemID="{F10E6D72-1DEF-4973-BAED-19FB48ECF472}"/>
</file>

<file path=docProps/app.xml><?xml version="1.0" encoding="utf-8"?>
<Properties xmlns="http://schemas.openxmlformats.org/officeDocument/2006/extended-properties" xmlns:vt="http://schemas.openxmlformats.org/officeDocument/2006/docPropsVTypes">
  <Template>Normal.dotm</Template>
  <TotalTime>203</TotalTime>
  <Pages>3</Pages>
  <Words>791</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PROJECT COMMITMENTS:</vt:lpstr>
    </vt:vector>
  </TitlesOfParts>
  <Manager>John L. Williams</Manager>
  <Company>NC DOT</Company>
  <LinksUpToDate>false</LinksUpToDate>
  <CharactersWithSpaces>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COMMITMENTS:</dc:title>
  <dc:creator>PDEA Bridge Unit</dc:creator>
  <cp:lastModifiedBy>Williams, John L</cp:lastModifiedBy>
  <cp:revision>5</cp:revision>
  <cp:lastPrinted>2007-10-30T17:15:00Z</cp:lastPrinted>
  <dcterms:created xsi:type="dcterms:W3CDTF">2017-03-03T13:04:00Z</dcterms:created>
  <dcterms:modified xsi:type="dcterms:W3CDTF">2017-03-06T17:20:00Z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0x0101006EEDC6FC54C0D941ABCD3B8B21EE836D</vt:lpwstr>
  </property>
  <property fmtid="{D5CDD505-2E9C-101B-9397-08002B2CF9AE}" pid="3" name="_dlc_DocIdItemGuid">
    <vt:lpwstr>5541733c-f36c-454b-8ddd-8395a99c2257</vt:lpwstr>
  </property>
  <property fmtid="{D5CDD505-2E9C-101B-9397-08002B2CF9AE}" pid="4" name="Order">
    <vt:r8>23800</vt:r8>
  </property>
</Properties>
</file>